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bookmarkStart w:colFirst="0" w:colLast="0" w:name="_9apcdeelv1u7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Title"/>
              <w:rPr>
                <w:rFonts w:ascii="Roboto" w:cs="Roboto" w:eastAsia="Roboto" w:hAnsi="Roboto"/>
                <w:b w:val="1"/>
                <w:sz w:val="64"/>
                <w:szCs w:val="64"/>
              </w:rPr>
            </w:pPr>
            <w:bookmarkStart w:colFirst="0" w:colLast="0" w:name="_nkj5gifvz7w7" w:id="1"/>
            <w:bookmarkEnd w:id="1"/>
            <w:r w:rsidDel="00000000" w:rsidR="00000000" w:rsidRPr="00000000">
              <w:rPr>
                <w:rFonts w:ascii="Roboto" w:cs="Roboto" w:eastAsia="Roboto" w:hAnsi="Roboto"/>
                <w:b w:val="1"/>
                <w:sz w:val="64"/>
                <w:szCs w:val="64"/>
                <w:rtl w:val="0"/>
              </w:rPr>
              <w:t xml:space="preserve">Sales Call Planning and Reflection Worksheet</w:t>
            </w:r>
          </w:p>
        </w:tc>
      </w:tr>
    </w:tbl>
    <w:p w:rsidR="00000000" w:rsidDel="00000000" w:rsidP="00000000" w:rsidRDefault="00000000" w:rsidRPr="00000000" w14:paraId="0000000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Maximise the effectiveness of your sales calls with this comprehensive planning and reflection worksheet. Utilise insights and data from BuddyCRM to enhance your preparation and follow-up strategies.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Call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Company &amp; Role: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Date of Call: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Type of Call: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8085"/>
        <w:tblGridChange w:id="0">
          <w:tblGrid>
            <w:gridCol w:w="915"/>
            <w:gridCol w:w="80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I. Pre-Call Planning Section: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2"/>
                <w:szCs w:val="32"/>
                <w:rtl w:val="0"/>
              </w:rPr>
              <w:t xml:space="preserve">Objective Setting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Define the specific goals of this call. What do you aim to achieve? (e.g., schedule a follow-up meeting, introduce a new product)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2"/>
                <w:szCs w:val="32"/>
                <w:rtl w:val="0"/>
              </w:rPr>
              <w:t xml:space="preserve">Research Notes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Compile detailed information about the client or prospect. Use BuddyCRM to review past interactions, understand their business needs, and identify key decision-makers and competitors.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8085"/>
        <w:tblGridChange w:id="0">
          <w:tblGrid>
            <w:gridCol w:w="915"/>
            <w:gridCol w:w="80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II. Questions to Prepare: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2"/>
                <w:szCs w:val="32"/>
                <w:rtl w:val="0"/>
              </w:rPr>
              <w:t xml:space="preserve">Questions for the Prospect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List tailored questions to engage the client and extract valuable insights. Focus on their needs and how your product/service can address them.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2"/>
                <w:szCs w:val="32"/>
                <w:rtl w:val="0"/>
              </w:rPr>
              <w:t xml:space="preserve">Anticipated Questions from the Prospect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Prepare responses for likely questions from the client. This includes queries about product features, pricing, and implementation.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8085"/>
        <w:tblGridChange w:id="0">
          <w:tblGrid>
            <w:gridCol w:w="915"/>
            <w:gridCol w:w="80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III. Call Strategy Section: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2"/>
                <w:szCs w:val="32"/>
                <w:rtl w:val="0"/>
              </w:rPr>
              <w:t xml:space="preserve">Approach and Key Talking Points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Outline your strategic approach for the call. Note down essential topics and messages you want to convey.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8085"/>
        <w:tblGridChange w:id="0">
          <w:tblGrid>
            <w:gridCol w:w="915"/>
            <w:gridCol w:w="80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IV. During the Call Section: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2"/>
                <w:szCs w:val="32"/>
                <w:rtl w:val="0"/>
              </w:rPr>
              <w:t xml:space="preserve">Quick Reference Points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Keep crucial information at hand, such as key product details, pricing, and special offers, for quick reference during the call.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8085"/>
        <w:tblGridChange w:id="0">
          <w:tblGrid>
            <w:gridCol w:w="915"/>
            <w:gridCol w:w="80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V. Post-Call Reflection Section: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2"/>
                <w:szCs w:val="32"/>
                <w:rtl w:val="0"/>
              </w:rPr>
              <w:t xml:space="preserve">Outcome Recording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Note the outcome of the call. Did you meet your objectives? What key decisions were made?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2"/>
                <w:szCs w:val="32"/>
                <w:rtl w:val="0"/>
              </w:rPr>
              <w:t xml:space="preserve">Self-Evaluation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Reflect on your performance. Identify what went well and areas for improvement.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2"/>
                <w:szCs w:val="32"/>
                <w:rtl w:val="0"/>
              </w:rPr>
              <w:t xml:space="preserve">Next Steps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Plan your follow-up actions. What are the immediate steps to take to advance this opportunity?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